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both"/>
        <w:rPr>
          <w:rFonts w:ascii="12" w:hAnsi="12" w:cs="Times New Roman"/>
          <w:b/>
          <w:bCs/>
        </w:rPr>
      </w:pPr>
      <w:bookmarkStart w:id="0" w:name="_GoBack"/>
      <w:bookmarkEnd w:id="0"/>
    </w:p>
    <w:p>
      <w:pPr>
        <w:spacing w:after="0"/>
        <w:jc w:val="both"/>
        <w:rPr>
          <w:rFonts w:ascii="12" w:hAnsi="12" w:cstheme="minorHAnsi"/>
          <w:b/>
          <w:color w:val="000000" w:themeColor="text1"/>
          <w:sz w:val="24"/>
          <w:szCs w:val="24"/>
          <w14:textFill>
            <w14:solidFill>
              <w14:schemeClr w14:val="tx1"/>
            </w14:solidFill>
          </w14:textFill>
        </w:rPr>
      </w:pPr>
      <w:r>
        <w:rPr>
          <w:rFonts w:ascii="12" w:hAnsi="12" w:cstheme="minorHAnsi"/>
          <w:b/>
          <w:color w:val="000000" w:themeColor="text1"/>
          <w:sz w:val="24"/>
          <w:szCs w:val="24"/>
          <w14:textFill>
            <w14:solidFill>
              <w14:schemeClr w14:val="tx1"/>
            </w14:solidFill>
          </w14:textFill>
        </w:rPr>
        <w:t>Job Description</w:t>
      </w:r>
    </w:p>
    <w:p>
      <w:pPr>
        <w:spacing w:after="0"/>
        <w:jc w:val="both"/>
        <w:rPr>
          <w:rFonts w:ascii="12" w:hAnsi="12" w:cstheme="minorHAnsi"/>
          <w:b/>
          <w:color w:val="000000" w:themeColor="text1"/>
          <w:sz w:val="24"/>
          <w:szCs w:val="24"/>
          <w14:textFill>
            <w14:solidFill>
              <w14:schemeClr w14:val="tx1"/>
            </w14:solidFill>
          </w14:textFill>
        </w:rPr>
      </w:pPr>
    </w:p>
    <w:p>
      <w:pPr>
        <w:spacing w:after="0"/>
        <w:jc w:val="both"/>
        <w:rPr>
          <w:rFonts w:ascii="12" w:hAnsi="12" w:cstheme="minorHAnsi"/>
          <w:b/>
          <w:color w:val="000000" w:themeColor="text1"/>
          <w:sz w:val="24"/>
          <w:szCs w:val="24"/>
          <w14:textFill>
            <w14:solidFill>
              <w14:schemeClr w14:val="tx1"/>
            </w14:solidFill>
          </w14:textFill>
        </w:rPr>
      </w:pPr>
      <w:r>
        <w:rPr>
          <w:rFonts w:ascii="12" w:hAnsi="12" w:cstheme="minorHAnsi"/>
          <w:b/>
          <w:color w:val="000000" w:themeColor="text1"/>
          <w:sz w:val="24"/>
          <w:szCs w:val="24"/>
          <w14:textFill>
            <w14:solidFill>
              <w14:schemeClr w14:val="tx1"/>
            </w14:solidFill>
          </w14:textFill>
        </w:rPr>
        <w:t>Position: Project Lead – Micron Project</w:t>
      </w:r>
    </w:p>
    <w:p>
      <w:pPr>
        <w:spacing w:after="0"/>
        <w:jc w:val="both"/>
        <w:rPr>
          <w:rFonts w:ascii="12" w:hAnsi="12" w:cstheme="minorHAnsi"/>
          <w:b/>
          <w:color w:val="000000" w:themeColor="text1"/>
          <w:sz w:val="24"/>
          <w:szCs w:val="24"/>
          <w14:textFill>
            <w14:solidFill>
              <w14:schemeClr w14:val="tx1"/>
            </w14:solidFill>
          </w14:textFill>
        </w:rPr>
      </w:pPr>
      <w:r>
        <w:rPr>
          <w:rFonts w:ascii="12" w:hAnsi="12" w:cstheme="minorHAnsi"/>
          <w:b/>
          <w:color w:val="000000" w:themeColor="text1"/>
          <w:sz w:val="24"/>
          <w:szCs w:val="24"/>
          <w14:textFill>
            <w14:solidFill>
              <w14:schemeClr w14:val="tx1"/>
            </w14:solidFill>
          </w14:textFill>
        </w:rPr>
        <w:t>Location: Delhi</w:t>
      </w:r>
    </w:p>
    <w:p>
      <w:pPr>
        <w:spacing w:after="0"/>
        <w:jc w:val="both"/>
        <w:rPr>
          <w:rFonts w:ascii="12" w:hAnsi="12" w:cstheme="minorHAnsi"/>
          <w:b/>
          <w:color w:val="000000" w:themeColor="text1"/>
          <w:sz w:val="24"/>
          <w:szCs w:val="24"/>
          <w14:textFill>
            <w14:solidFill>
              <w14:schemeClr w14:val="tx1"/>
            </w14:solidFill>
          </w14:textFill>
        </w:rPr>
      </w:pPr>
      <w:r>
        <w:rPr>
          <w:rFonts w:ascii="12" w:hAnsi="12" w:cstheme="minorHAnsi"/>
          <w:b/>
          <w:color w:val="000000" w:themeColor="text1"/>
          <w:sz w:val="24"/>
          <w:szCs w:val="24"/>
          <w14:textFill>
            <w14:solidFill>
              <w14:schemeClr w14:val="tx1"/>
            </w14:solidFill>
          </w14:textFill>
        </w:rPr>
        <w:t>Reports to: Associate Director, Policy, Advocacy and Training</w:t>
      </w:r>
    </w:p>
    <w:p>
      <w:pPr>
        <w:pStyle w:val="5"/>
        <w:jc w:val="both"/>
        <w:rPr>
          <w:rFonts w:ascii="12" w:hAnsi="12" w:eastAsiaTheme="minorHAnsi" w:cstheme="minorHAnsi"/>
          <w:b/>
          <w:color w:val="000000" w:themeColor="text1"/>
          <w14:textFill>
            <w14:solidFill>
              <w14:schemeClr w14:val="tx1"/>
            </w14:solidFill>
          </w14:textFill>
        </w:rPr>
      </w:pPr>
      <w:r>
        <w:rPr>
          <w:rFonts w:ascii="12" w:hAnsi="12" w:eastAsiaTheme="minorHAnsi" w:cstheme="minorHAnsi"/>
          <w:b/>
          <w:color w:val="000000" w:themeColor="text1"/>
          <w14:textFill>
            <w14:solidFill>
              <w14:schemeClr w14:val="tx1"/>
            </w14:solidFill>
          </w14:textFill>
        </w:rPr>
        <w:t>Job Profile: Effective from June 2023</w:t>
      </w:r>
    </w:p>
    <w:p>
      <w:pPr>
        <w:pStyle w:val="5"/>
        <w:jc w:val="both"/>
        <w:rPr>
          <w:rFonts w:ascii="12" w:hAnsi="12" w:cstheme="minorHAnsi"/>
          <w:i/>
          <w:color w:val="000000" w:themeColor="text1"/>
          <w14:textFill>
            <w14:solidFill>
              <w14:schemeClr w14:val="tx1"/>
            </w14:solidFill>
          </w14:textFill>
        </w:rPr>
      </w:pPr>
    </w:p>
    <w:p>
      <w:pPr>
        <w:pStyle w:val="5"/>
        <w:jc w:val="both"/>
        <w:rPr>
          <w:rFonts w:ascii="12" w:hAnsi="12" w:cs="Times New Roman"/>
          <w:b/>
          <w:bCs/>
        </w:rPr>
      </w:pPr>
      <w:r>
        <w:rPr>
          <w:rFonts w:ascii="12" w:hAnsi="12" w:cs="Times New Roman"/>
          <w:b/>
          <w:bCs/>
        </w:rPr>
        <w:t>About the Organisation</w:t>
      </w:r>
    </w:p>
    <w:p>
      <w:pPr>
        <w:pStyle w:val="5"/>
        <w:jc w:val="both"/>
        <w:rPr>
          <w:rFonts w:ascii="12" w:hAnsi="12" w:cs="Times New Roman"/>
        </w:rPr>
      </w:pPr>
    </w:p>
    <w:p>
      <w:pPr>
        <w:pStyle w:val="5"/>
        <w:jc w:val="both"/>
        <w:rPr>
          <w:rFonts w:ascii="12" w:hAnsi="12" w:cs="Times New Roman"/>
        </w:rPr>
      </w:pPr>
      <w:r>
        <w:rPr>
          <w:rFonts w:ascii="12" w:hAnsi="12" w:cs="Times New Roman"/>
        </w:rPr>
        <w:t xml:space="preserve">Udayan Care, an ISO 9000 certified organisation, has been working for the quality care of disadvantaged children and women and youth for over 24 years, with the endeavor of providing sustainable rehabilitation. The mission of “A nurturing home for every orphaned child; an opportunity for higher education for every girl and for every adult; the dignity of self-reliance and the desire to give back to society.” is what drives its 140 employees and close to 800 volunteers to action. </w:t>
      </w:r>
    </w:p>
    <w:p>
      <w:pPr>
        <w:pStyle w:val="5"/>
        <w:jc w:val="both"/>
        <w:rPr>
          <w:rFonts w:ascii="12" w:hAnsi="12" w:cs="Times New Roman"/>
        </w:rPr>
      </w:pPr>
    </w:p>
    <w:p>
      <w:pPr>
        <w:pStyle w:val="5"/>
        <w:jc w:val="both"/>
        <w:rPr>
          <w:rFonts w:ascii="12" w:hAnsi="12" w:cs="Times New Roman"/>
          <w:strike/>
        </w:rPr>
      </w:pPr>
      <w:r>
        <w:rPr>
          <w:rFonts w:ascii="12" w:hAnsi="12" w:cs="Times New Roman"/>
        </w:rPr>
        <w:t>Based on the belief that a loving home &amp; family is the right of every child, Udayan Ghars are long term residential homes that nurture children who are orphaned or abandoned in a family environment. Beyond 18, they get aftercare support and are educated and trained further, till job ready and independent. Udayan Care has been accredited by Give India, Guidestar &amp; Credibility Alliance, for its transparent and credible performance. In 2015, the Honourable President of India awarded Udayan Care the National Award for Child Welfare 2014-India’s highest commendation for a non-profit child welfare organisation constituted by the Govt. of India</w:t>
      </w:r>
      <w:r>
        <w:rPr>
          <w:rFonts w:ascii="12" w:hAnsi="12" w:cs="Times New Roman"/>
          <w:strike/>
        </w:rPr>
        <w:t xml:space="preserve"> </w:t>
      </w:r>
    </w:p>
    <w:p>
      <w:pPr>
        <w:pStyle w:val="5"/>
        <w:jc w:val="both"/>
        <w:rPr>
          <w:rFonts w:ascii="12" w:hAnsi="12" w:cs="Times New Roman"/>
        </w:rPr>
      </w:pPr>
    </w:p>
    <w:p>
      <w:pPr>
        <w:rPr>
          <w:rFonts w:ascii="12" w:hAnsi="12" w:eastAsia="Calibri" w:cs="Times New Roman"/>
          <w:color w:val="000000"/>
          <w:sz w:val="24"/>
          <w:szCs w:val="24"/>
        </w:rPr>
      </w:pPr>
      <w:r>
        <w:rPr>
          <w:rFonts w:ascii="12" w:hAnsi="12" w:eastAsia="Calibri" w:cs="Times New Roman"/>
          <w:color w:val="000000"/>
          <w:sz w:val="24"/>
          <w:szCs w:val="24"/>
        </w:rPr>
        <w:t>The Advocacy, Research and Training (A.R.T.) Department at Udayan Care is implementing a pilot project on supporting skilling and economic empowerment of care leavers in partnership with state government and other partners. The project is an intensive intervention to work with state on Children and Care Leavers (above 18 years youth who have left Child Care Institutions) and issues through strengthening a robust Aftercare program.</w:t>
      </w:r>
    </w:p>
    <w:p>
      <w:pPr>
        <w:pStyle w:val="5"/>
        <w:jc w:val="both"/>
        <w:rPr>
          <w:rFonts w:ascii="12" w:hAnsi="12" w:cs="Times New Roman"/>
          <w:b/>
          <w:bCs/>
        </w:rPr>
      </w:pPr>
      <w:r>
        <w:rPr>
          <w:rFonts w:ascii="12" w:hAnsi="12" w:cs="Times New Roman"/>
          <w:b/>
          <w:bCs/>
        </w:rPr>
        <w:t>About the Role</w:t>
      </w:r>
    </w:p>
    <w:p>
      <w:pPr>
        <w:pStyle w:val="5"/>
        <w:jc w:val="both"/>
        <w:rPr>
          <w:rFonts w:ascii="12" w:hAnsi="12" w:cs="Times New Roman"/>
          <w:b/>
          <w:bCs/>
        </w:rPr>
      </w:pPr>
    </w:p>
    <w:p>
      <w:pPr>
        <w:pStyle w:val="5"/>
        <w:jc w:val="both"/>
        <w:rPr>
          <w:rFonts w:ascii="12" w:hAnsi="12" w:eastAsia="Times New Roman" w:cs="Times New Roman"/>
          <w:color w:val="202124"/>
          <w:spacing w:val="-5"/>
        </w:rPr>
      </w:pPr>
      <w:r>
        <w:rPr>
          <w:rFonts w:ascii="12" w:hAnsi="12" w:eastAsia="Times New Roman" w:cs="Times New Roman"/>
          <w:color w:val="202124"/>
          <w:spacing w:val="-5"/>
        </w:rPr>
        <w:t>The role holder is accountable for 360 degree management of aftercare on ground project undertaken by the A.R.T. department of Udayan Care.</w:t>
      </w:r>
    </w:p>
    <w:p>
      <w:pPr>
        <w:pStyle w:val="5"/>
        <w:jc w:val="both"/>
        <w:rPr>
          <w:rFonts w:ascii="12" w:hAnsi="12" w:eastAsia="Times New Roman" w:cs="Times New Roman"/>
          <w:color w:val="202124"/>
          <w:spacing w:val="-5"/>
        </w:rPr>
      </w:pPr>
    </w:p>
    <w:p>
      <w:pPr>
        <w:autoSpaceDE w:val="0"/>
        <w:autoSpaceDN w:val="0"/>
        <w:adjustRightInd w:val="0"/>
        <w:spacing w:after="0" w:line="240" w:lineRule="auto"/>
        <w:jc w:val="both"/>
        <w:rPr>
          <w:rFonts w:ascii="12" w:hAnsi="12" w:cstheme="minorHAnsi"/>
          <w:b/>
          <w:color w:val="000000" w:themeColor="text1"/>
          <w:sz w:val="24"/>
          <w:u w:val="single"/>
          <w14:textFill>
            <w14:solidFill>
              <w14:schemeClr w14:val="tx1"/>
            </w14:solidFill>
          </w14:textFill>
        </w:rPr>
      </w:pPr>
      <w:r>
        <w:rPr>
          <w:rFonts w:ascii="12" w:hAnsi="12" w:cstheme="minorHAnsi"/>
          <w:b/>
          <w:color w:val="000000" w:themeColor="text1"/>
          <w:sz w:val="24"/>
          <w:u w:val="single"/>
          <w14:textFill>
            <w14:solidFill>
              <w14:schemeClr w14:val="tx1"/>
            </w14:solidFill>
          </w14:textFill>
        </w:rPr>
        <w:t>Program Implementation:</w:t>
      </w:r>
    </w:p>
    <w:p>
      <w:pPr>
        <w:pStyle w:val="6"/>
        <w:numPr>
          <w:ilvl w:val="0"/>
          <w:numId w:val="1"/>
        </w:numPr>
        <w:shd w:val="clear" w:color="auto" w:fill="FFFFFF"/>
        <w:spacing w:before="180" w:after="0" w:line="240" w:lineRule="auto"/>
        <w:rPr>
          <w:rFonts w:ascii="12" w:hAnsi="12" w:eastAsia="Calibri" w:cs="Times New Roman"/>
          <w:color w:val="000000"/>
          <w:sz w:val="24"/>
          <w:szCs w:val="24"/>
        </w:rPr>
      </w:pPr>
      <w:r>
        <w:rPr>
          <w:rFonts w:ascii="12" w:hAnsi="12" w:eastAsia="Calibri" w:cs="Times New Roman"/>
          <w:color w:val="000000"/>
          <w:sz w:val="24"/>
          <w:szCs w:val="24"/>
        </w:rPr>
        <w:t>Overall responsible for program implementation.</w:t>
      </w:r>
    </w:p>
    <w:p>
      <w:pPr>
        <w:pStyle w:val="6"/>
        <w:numPr>
          <w:ilvl w:val="0"/>
          <w:numId w:val="1"/>
        </w:numPr>
        <w:shd w:val="clear" w:color="auto" w:fill="FFFFFF"/>
        <w:spacing w:before="180" w:after="0" w:line="240" w:lineRule="auto"/>
        <w:rPr>
          <w:rFonts w:ascii="12" w:hAnsi="12" w:eastAsia="Calibri" w:cs="Times New Roman"/>
          <w:color w:val="000000"/>
          <w:sz w:val="24"/>
          <w:szCs w:val="24"/>
        </w:rPr>
      </w:pPr>
      <w:r>
        <w:rPr>
          <w:rFonts w:ascii="12" w:hAnsi="12" w:eastAsia="Calibri" w:cs="Times New Roman"/>
          <w:color w:val="000000"/>
          <w:sz w:val="24"/>
          <w:szCs w:val="24"/>
        </w:rPr>
        <w:t>Supervise and guide the project team coordinators, trainers, resource persons, consultants</w:t>
      </w:r>
    </w:p>
    <w:p>
      <w:pPr>
        <w:pStyle w:val="6"/>
        <w:numPr>
          <w:ilvl w:val="0"/>
          <w:numId w:val="1"/>
        </w:numPr>
        <w:shd w:val="clear" w:color="auto" w:fill="FFFFFF"/>
        <w:spacing w:before="180" w:after="0" w:line="240" w:lineRule="auto"/>
        <w:rPr>
          <w:rFonts w:ascii="12" w:hAnsi="12" w:eastAsia="Calibri" w:cs="Times New Roman"/>
          <w:color w:val="000000"/>
          <w:sz w:val="24"/>
          <w:szCs w:val="24"/>
        </w:rPr>
      </w:pPr>
      <w:r>
        <w:rPr>
          <w:rFonts w:ascii="12" w:hAnsi="12" w:eastAsia="Calibri" w:cs="Times New Roman"/>
          <w:color w:val="000000"/>
          <w:sz w:val="24"/>
          <w:szCs w:val="24"/>
        </w:rPr>
        <w:t xml:space="preserve">Indicative Activities – supervise outreach with CCIs, identification of children and youth under the program, care planning and aftercare planning, training of children and youth, skills trainings and job placement of aftercare adults, case studies, reporting, evaluation, training material development, and related tasks as per program strategy. </w:t>
      </w:r>
    </w:p>
    <w:p>
      <w:pPr>
        <w:pStyle w:val="6"/>
        <w:numPr>
          <w:ilvl w:val="0"/>
          <w:numId w:val="1"/>
        </w:numPr>
        <w:shd w:val="clear" w:color="auto" w:fill="FFFFFF"/>
        <w:spacing w:before="180" w:after="0" w:line="240" w:lineRule="auto"/>
        <w:rPr>
          <w:rFonts w:ascii="12" w:hAnsi="12" w:eastAsia="Calibri" w:cs="Times New Roman"/>
          <w:color w:val="000000"/>
          <w:sz w:val="24"/>
          <w:szCs w:val="24"/>
        </w:rPr>
      </w:pPr>
      <w:r>
        <w:rPr>
          <w:rFonts w:ascii="12" w:hAnsi="12" w:eastAsia="Calibri" w:cs="Times New Roman"/>
          <w:color w:val="000000"/>
          <w:sz w:val="24"/>
          <w:szCs w:val="24"/>
        </w:rPr>
        <w:t>Work directly with aftercare youth, different stakeholders and partners such as government, funding agencies, mentors and corporations, other NGOs/CCIs, institutes and agencies or consultants, etc. to ensure deliverables in timely manner</w:t>
      </w:r>
    </w:p>
    <w:p>
      <w:pPr>
        <w:pStyle w:val="6"/>
        <w:numPr>
          <w:ilvl w:val="0"/>
          <w:numId w:val="1"/>
        </w:numPr>
        <w:shd w:val="clear" w:color="auto" w:fill="FFFFFF"/>
        <w:spacing w:before="180" w:after="0" w:line="240" w:lineRule="auto"/>
        <w:rPr>
          <w:rFonts w:ascii="12" w:hAnsi="12" w:eastAsia="Calibri" w:cs="Times New Roman"/>
          <w:color w:val="000000"/>
          <w:sz w:val="24"/>
          <w:szCs w:val="24"/>
        </w:rPr>
      </w:pPr>
      <w:r>
        <w:rPr>
          <w:rFonts w:ascii="12" w:hAnsi="12" w:eastAsia="Calibri" w:cs="Times New Roman"/>
          <w:color w:val="000000"/>
          <w:sz w:val="24"/>
          <w:szCs w:val="24"/>
        </w:rPr>
        <w:t>Assist Associate Director and ART department in strategic decision making for beneficiaries, project indices, etc.</w:t>
      </w:r>
    </w:p>
    <w:p>
      <w:pPr>
        <w:pStyle w:val="6"/>
        <w:numPr>
          <w:ilvl w:val="0"/>
          <w:numId w:val="1"/>
        </w:numPr>
        <w:shd w:val="clear" w:color="auto" w:fill="FFFFFF"/>
        <w:spacing w:before="180" w:after="0" w:line="240" w:lineRule="auto"/>
        <w:rPr>
          <w:rFonts w:ascii="12" w:hAnsi="12" w:eastAsia="Calibri" w:cs="Times New Roman"/>
          <w:color w:val="000000"/>
          <w:sz w:val="24"/>
          <w:szCs w:val="24"/>
        </w:rPr>
      </w:pPr>
      <w:r>
        <w:rPr>
          <w:rFonts w:ascii="12" w:hAnsi="12" w:eastAsia="Calibri" w:cs="Times New Roman"/>
          <w:color w:val="000000"/>
          <w:sz w:val="24"/>
          <w:szCs w:val="24"/>
        </w:rPr>
        <w:t>Manage daily &amp; monthly program expenses</w:t>
      </w:r>
    </w:p>
    <w:p>
      <w:pPr>
        <w:pStyle w:val="6"/>
        <w:numPr>
          <w:ilvl w:val="0"/>
          <w:numId w:val="1"/>
        </w:numPr>
        <w:shd w:val="clear" w:color="auto" w:fill="FFFFFF"/>
        <w:spacing w:before="180" w:after="0" w:line="240" w:lineRule="auto"/>
        <w:rPr>
          <w:rFonts w:ascii="12" w:hAnsi="12" w:eastAsia="Calibri" w:cstheme="minorHAnsi"/>
          <w:color w:val="000000" w:themeColor="text1"/>
          <w:sz w:val="24"/>
          <w:szCs w:val="24"/>
          <w14:textFill>
            <w14:solidFill>
              <w14:schemeClr w14:val="tx1"/>
            </w14:solidFill>
          </w14:textFill>
        </w:rPr>
      </w:pPr>
      <w:r>
        <w:rPr>
          <w:rFonts w:ascii="12" w:hAnsi="12" w:eastAsia="Calibri" w:cstheme="minorHAnsi"/>
          <w:color w:val="000000" w:themeColor="text1"/>
          <w:sz w:val="24"/>
          <w:szCs w:val="24"/>
          <w14:textFill>
            <w14:solidFill>
              <w14:schemeClr w14:val="tx1"/>
            </w14:solidFill>
          </w14:textFill>
        </w:rPr>
        <w:t>Coordination and completion of project deliverables on time within defined budget</w:t>
      </w:r>
    </w:p>
    <w:p>
      <w:pPr>
        <w:pStyle w:val="6"/>
        <w:numPr>
          <w:ilvl w:val="0"/>
          <w:numId w:val="1"/>
        </w:numPr>
        <w:shd w:val="clear" w:color="auto" w:fill="FFFFFF"/>
        <w:spacing w:before="180" w:after="0" w:line="240" w:lineRule="auto"/>
        <w:rPr>
          <w:rFonts w:ascii="12" w:hAnsi="12" w:eastAsia="Calibri" w:cstheme="minorHAnsi"/>
          <w:color w:val="000000" w:themeColor="text1"/>
          <w:sz w:val="24"/>
          <w:szCs w:val="24"/>
          <w14:textFill>
            <w14:solidFill>
              <w14:schemeClr w14:val="tx1"/>
            </w14:solidFill>
          </w14:textFill>
        </w:rPr>
      </w:pPr>
      <w:r>
        <w:rPr>
          <w:rFonts w:ascii="12" w:hAnsi="12" w:eastAsia="Calibri" w:cstheme="minorHAnsi"/>
          <w:color w:val="000000" w:themeColor="text1"/>
          <w:sz w:val="24"/>
          <w:szCs w:val="24"/>
          <w14:textFill>
            <w14:solidFill>
              <w14:schemeClr w14:val="tx1"/>
            </w14:solidFill>
          </w14:textFill>
        </w:rPr>
        <w:t>Ensure delivery of workshops, coordination with resource persons, and managing online and in person logistics</w:t>
      </w:r>
    </w:p>
    <w:p>
      <w:pPr>
        <w:pStyle w:val="6"/>
        <w:numPr>
          <w:ilvl w:val="0"/>
          <w:numId w:val="1"/>
        </w:numPr>
        <w:shd w:val="clear" w:color="auto" w:fill="FFFFFF"/>
        <w:spacing w:before="180" w:after="0" w:line="240" w:lineRule="auto"/>
        <w:rPr>
          <w:rFonts w:ascii="12" w:hAnsi="12" w:eastAsia="Calibri" w:cstheme="minorHAnsi"/>
          <w:color w:val="000000" w:themeColor="text1"/>
          <w:sz w:val="24"/>
          <w:szCs w:val="24"/>
          <w14:textFill>
            <w14:solidFill>
              <w14:schemeClr w14:val="tx1"/>
            </w14:solidFill>
          </w14:textFill>
        </w:rPr>
      </w:pPr>
      <w:r>
        <w:rPr>
          <w:rFonts w:ascii="12" w:hAnsi="12" w:eastAsia="Calibri" w:cstheme="minorHAnsi"/>
          <w:color w:val="000000" w:themeColor="text1"/>
          <w:sz w:val="24"/>
          <w:szCs w:val="24"/>
          <w14:textFill>
            <w14:solidFill>
              <w14:schemeClr w14:val="tx1"/>
            </w14:solidFill>
          </w14:textFill>
        </w:rPr>
        <w:t xml:space="preserve">Make quality reports in timely manner with effective monitoring and evaluation </w:t>
      </w:r>
    </w:p>
    <w:p>
      <w:pPr>
        <w:pStyle w:val="6"/>
        <w:numPr>
          <w:ilvl w:val="0"/>
          <w:numId w:val="1"/>
        </w:numPr>
        <w:shd w:val="clear" w:color="auto" w:fill="FFFFFF"/>
        <w:spacing w:before="180" w:after="0" w:line="240" w:lineRule="auto"/>
        <w:rPr>
          <w:rFonts w:ascii="12" w:hAnsi="12" w:eastAsia="Calibri" w:cstheme="minorHAnsi"/>
          <w:color w:val="000000" w:themeColor="text1"/>
          <w:sz w:val="24"/>
          <w:szCs w:val="24"/>
          <w14:textFill>
            <w14:solidFill>
              <w14:schemeClr w14:val="tx1"/>
            </w14:solidFill>
          </w14:textFill>
        </w:rPr>
      </w:pPr>
      <w:r>
        <w:rPr>
          <w:rFonts w:ascii="12" w:hAnsi="12" w:eastAsia="Calibri" w:cstheme="minorHAnsi"/>
          <w:color w:val="000000" w:themeColor="text1"/>
          <w:sz w:val="24"/>
          <w:szCs w:val="24"/>
          <w14:textFill>
            <w14:solidFill>
              <w14:schemeClr w14:val="tx1"/>
            </w14:solidFill>
          </w14:textFill>
        </w:rPr>
        <w:t>Ensure partnerships at scale for education skilling, placement and networking directly of the nature that serves program objectives</w:t>
      </w:r>
    </w:p>
    <w:p>
      <w:pPr>
        <w:pStyle w:val="6"/>
        <w:numPr>
          <w:ilvl w:val="0"/>
          <w:numId w:val="1"/>
        </w:numPr>
        <w:shd w:val="clear" w:color="auto" w:fill="FFFFFF"/>
        <w:spacing w:before="180" w:after="0" w:line="240" w:lineRule="auto"/>
        <w:rPr>
          <w:rFonts w:ascii="12" w:hAnsi="12" w:eastAsia="Calibri" w:cstheme="minorHAnsi"/>
          <w:color w:val="000000" w:themeColor="text1"/>
          <w:sz w:val="24"/>
          <w:szCs w:val="24"/>
          <w14:textFill>
            <w14:solidFill>
              <w14:schemeClr w14:val="tx1"/>
            </w14:solidFill>
          </w14:textFill>
        </w:rPr>
      </w:pPr>
      <w:r>
        <w:rPr>
          <w:rFonts w:ascii="12" w:hAnsi="12" w:eastAsia="Calibri" w:cstheme="minorHAnsi"/>
          <w:color w:val="000000" w:themeColor="text1"/>
          <w:sz w:val="24"/>
          <w:szCs w:val="24"/>
          <w14:textFill>
            <w14:solidFill>
              <w14:schemeClr w14:val="tx1"/>
            </w14:solidFill>
          </w14:textFill>
        </w:rPr>
        <w:t xml:space="preserve">Facilitate placements and close follow through of all youth placed in jobs and internships/ opportunities, etc. </w:t>
      </w:r>
    </w:p>
    <w:p>
      <w:pPr>
        <w:shd w:val="clear" w:color="auto" w:fill="FFFFFF"/>
        <w:spacing w:before="180" w:after="0" w:line="240" w:lineRule="auto"/>
        <w:rPr>
          <w:rFonts w:ascii="12" w:hAnsi="12" w:eastAsia="Calibri" w:cstheme="minorHAnsi"/>
          <w:b/>
          <w:color w:val="000000" w:themeColor="text1"/>
          <w:sz w:val="24"/>
          <w:szCs w:val="24"/>
          <w:u w:val="single"/>
          <w14:textFill>
            <w14:solidFill>
              <w14:schemeClr w14:val="tx1"/>
            </w14:solidFill>
          </w14:textFill>
        </w:rPr>
      </w:pPr>
      <w:r>
        <w:rPr>
          <w:rFonts w:ascii="12" w:hAnsi="12" w:eastAsia="Calibri" w:cstheme="minorHAnsi"/>
          <w:b/>
          <w:color w:val="000000" w:themeColor="text1"/>
          <w:sz w:val="24"/>
          <w:szCs w:val="24"/>
          <w:u w:val="single"/>
          <w14:textFill>
            <w14:solidFill>
              <w14:schemeClr w14:val="tx1"/>
            </w14:solidFill>
          </w14:textFill>
        </w:rPr>
        <w:t xml:space="preserve">Strengthening care leavers network and engagement </w:t>
      </w:r>
    </w:p>
    <w:p>
      <w:pPr>
        <w:pStyle w:val="6"/>
        <w:numPr>
          <w:ilvl w:val="0"/>
          <w:numId w:val="1"/>
        </w:numPr>
        <w:shd w:val="clear" w:color="auto" w:fill="FFFFFF"/>
        <w:spacing w:before="180" w:after="0" w:line="240" w:lineRule="auto"/>
        <w:rPr>
          <w:rFonts w:ascii="12" w:hAnsi="12" w:eastAsia="Calibri" w:cstheme="minorHAnsi"/>
          <w:color w:val="000000" w:themeColor="text1"/>
          <w:sz w:val="24"/>
          <w:szCs w:val="24"/>
          <w14:textFill>
            <w14:solidFill>
              <w14:schemeClr w14:val="tx1"/>
            </w14:solidFill>
          </w14:textFill>
        </w:rPr>
      </w:pPr>
      <w:r>
        <w:rPr>
          <w:rFonts w:ascii="12" w:hAnsi="12" w:eastAsia="Calibri" w:cstheme="minorHAnsi"/>
          <w:color w:val="000000" w:themeColor="text1"/>
          <w:sz w:val="24"/>
          <w:szCs w:val="24"/>
          <w14:textFill>
            <w14:solidFill>
              <w14:schemeClr w14:val="tx1"/>
            </w14:solidFill>
          </w14:textFill>
        </w:rPr>
        <w:t>Strengthening &amp; Capacity building of care leavers</w:t>
      </w:r>
    </w:p>
    <w:p>
      <w:pPr>
        <w:pStyle w:val="6"/>
        <w:numPr>
          <w:ilvl w:val="0"/>
          <w:numId w:val="1"/>
        </w:numPr>
        <w:shd w:val="clear" w:color="auto" w:fill="FFFFFF"/>
        <w:spacing w:before="180" w:after="0" w:line="240" w:lineRule="auto"/>
        <w:rPr>
          <w:rFonts w:ascii="12" w:hAnsi="12" w:eastAsia="Calibri" w:cstheme="minorHAnsi"/>
          <w:color w:val="000000" w:themeColor="text1"/>
          <w:sz w:val="24"/>
          <w:szCs w:val="24"/>
          <w14:textFill>
            <w14:solidFill>
              <w14:schemeClr w14:val="tx1"/>
            </w14:solidFill>
          </w14:textFill>
        </w:rPr>
      </w:pPr>
      <w:r>
        <w:rPr>
          <w:rFonts w:ascii="12" w:hAnsi="12" w:eastAsia="Calibri" w:cstheme="minorHAnsi"/>
          <w:color w:val="000000" w:themeColor="text1"/>
          <w:sz w:val="24"/>
          <w:szCs w:val="24"/>
          <w14:textFill>
            <w14:solidFill>
              <w14:schemeClr w14:val="tx1"/>
            </w14:solidFill>
          </w14:textFill>
        </w:rPr>
        <w:t>Work on Advocacy Pointers and issues of Care leavers</w:t>
      </w:r>
    </w:p>
    <w:p>
      <w:pPr>
        <w:pStyle w:val="6"/>
        <w:numPr>
          <w:ilvl w:val="0"/>
          <w:numId w:val="1"/>
        </w:numPr>
        <w:shd w:val="clear" w:color="auto" w:fill="FFFFFF"/>
        <w:spacing w:before="180" w:after="0" w:line="240" w:lineRule="auto"/>
        <w:rPr>
          <w:rFonts w:ascii="12" w:hAnsi="12" w:eastAsia="Calibri" w:cstheme="minorHAnsi"/>
          <w:color w:val="000000" w:themeColor="text1"/>
          <w:sz w:val="24"/>
          <w:szCs w:val="24"/>
          <w14:textFill>
            <w14:solidFill>
              <w14:schemeClr w14:val="tx1"/>
            </w14:solidFill>
          </w14:textFill>
        </w:rPr>
      </w:pPr>
      <w:r>
        <w:rPr>
          <w:rFonts w:ascii="12" w:hAnsi="12" w:eastAsia="Calibri" w:cstheme="minorHAnsi"/>
          <w:color w:val="000000" w:themeColor="text1"/>
          <w:sz w:val="24"/>
          <w:szCs w:val="24"/>
          <w14:textFill>
            <w14:solidFill>
              <w14:schemeClr w14:val="tx1"/>
            </w14:solidFill>
          </w14:textFill>
        </w:rPr>
        <w:t xml:space="preserve">Facilitation of identity and other documents’ preparation. </w:t>
      </w:r>
    </w:p>
    <w:p>
      <w:pPr>
        <w:pStyle w:val="6"/>
        <w:autoSpaceDE w:val="0"/>
        <w:autoSpaceDN w:val="0"/>
        <w:adjustRightInd w:val="0"/>
        <w:spacing w:after="0" w:line="240" w:lineRule="auto"/>
        <w:ind w:left="0"/>
        <w:jc w:val="both"/>
        <w:rPr>
          <w:rFonts w:ascii="12" w:hAnsi="12" w:cstheme="minorHAnsi"/>
          <w:b/>
          <w:color w:val="000000" w:themeColor="text1"/>
          <w14:textFill>
            <w14:solidFill>
              <w14:schemeClr w14:val="tx1"/>
            </w14:solidFill>
          </w14:textFill>
        </w:rPr>
      </w:pPr>
    </w:p>
    <w:p>
      <w:pPr>
        <w:pStyle w:val="6"/>
        <w:autoSpaceDE w:val="0"/>
        <w:autoSpaceDN w:val="0"/>
        <w:adjustRightInd w:val="0"/>
        <w:spacing w:after="0" w:line="240" w:lineRule="auto"/>
        <w:ind w:left="0"/>
        <w:jc w:val="both"/>
        <w:rPr>
          <w:rFonts w:ascii="12" w:hAnsi="12" w:cstheme="minorHAnsi"/>
          <w:b/>
          <w:color w:val="000000" w:themeColor="text1"/>
          <w14:textFill>
            <w14:solidFill>
              <w14:schemeClr w14:val="tx1"/>
            </w14:solidFill>
          </w14:textFill>
        </w:rPr>
      </w:pPr>
      <w:r>
        <w:rPr>
          <w:rFonts w:ascii="12" w:hAnsi="12" w:cstheme="minorHAnsi"/>
          <w:b/>
          <w:color w:val="000000" w:themeColor="text1"/>
          <w14:textFill>
            <w14:solidFill>
              <w14:schemeClr w14:val="tx1"/>
            </w14:solidFill>
          </w14:textFill>
        </w:rPr>
        <w:t>Any other job or related task as advised by Managing Trustee or Associate Directors (PAT &amp; ART)</w:t>
      </w:r>
    </w:p>
    <w:p>
      <w:pPr>
        <w:pStyle w:val="6"/>
        <w:autoSpaceDE w:val="0"/>
        <w:autoSpaceDN w:val="0"/>
        <w:adjustRightInd w:val="0"/>
        <w:spacing w:after="0" w:line="240" w:lineRule="auto"/>
        <w:ind w:left="360"/>
        <w:jc w:val="both"/>
        <w:rPr>
          <w:rFonts w:ascii="12" w:hAnsi="12" w:cstheme="minorHAnsi"/>
          <w:color w:val="000000" w:themeColor="text1"/>
          <w14:textFill>
            <w14:solidFill>
              <w14:schemeClr w14:val="tx1"/>
            </w14:solidFill>
          </w14:textFill>
        </w:rPr>
      </w:pPr>
    </w:p>
    <w:p>
      <w:pPr>
        <w:pStyle w:val="6"/>
        <w:numPr>
          <w:ilvl w:val="0"/>
          <w:numId w:val="1"/>
        </w:numPr>
        <w:shd w:val="clear" w:color="auto" w:fill="FFFFFF"/>
        <w:spacing w:before="180" w:after="0" w:line="240" w:lineRule="auto"/>
        <w:rPr>
          <w:rFonts w:ascii="12" w:hAnsi="12" w:eastAsia="Calibri" w:cstheme="minorHAnsi"/>
          <w:color w:val="000000" w:themeColor="text1"/>
          <w:sz w:val="24"/>
          <w:szCs w:val="24"/>
          <w14:textFill>
            <w14:solidFill>
              <w14:schemeClr w14:val="tx1"/>
            </w14:solidFill>
          </w14:textFill>
        </w:rPr>
      </w:pPr>
      <w:r>
        <w:rPr>
          <w:rFonts w:ascii="12" w:hAnsi="12" w:cstheme="minorHAnsi"/>
          <w:i/>
          <w:color w:val="000000" w:themeColor="text1"/>
          <w14:textFill>
            <w14:solidFill>
              <w14:schemeClr w14:val="tx1"/>
            </w14:solidFill>
          </w14:textFill>
        </w:rPr>
        <w:t xml:space="preserve">        </w:t>
      </w:r>
      <w:r>
        <w:rPr>
          <w:rFonts w:ascii="12" w:hAnsi="12" w:cstheme="minorHAnsi"/>
          <w:i/>
          <w:color w:val="000000" w:themeColor="text1"/>
          <w:sz w:val="24"/>
          <w:szCs w:val="24"/>
          <w14:textFill>
            <w14:solidFill>
              <w14:schemeClr w14:val="tx1"/>
            </w14:solidFill>
          </w14:textFill>
        </w:rPr>
        <w:t>Weekend hours shall be required</w:t>
      </w:r>
    </w:p>
    <w:p>
      <w:pPr>
        <w:pStyle w:val="5"/>
        <w:jc w:val="both"/>
        <w:rPr>
          <w:rFonts w:ascii="12" w:hAnsi="12"/>
        </w:rPr>
      </w:pPr>
    </w:p>
    <w:sectPr>
      <w:pgSz w:w="11906" w:h="16838"/>
      <w:pgMar w:top="568" w:right="707" w:bottom="709" w:left="709"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12">
    <w:altName w:val="Cambria"/>
    <w:panose1 w:val="00000000000000000000"/>
    <w:charset w:val="00"/>
    <w:family w:val="roman"/>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2F68B0"/>
    <w:multiLevelType w:val="multilevel"/>
    <w:tmpl w:val="0A2F68B0"/>
    <w:lvl w:ilvl="0" w:tentative="0">
      <w:start w:val="1"/>
      <w:numFmt w:val="bullet"/>
      <w:lvlText w:val=""/>
      <w:lvlJc w:val="left"/>
      <w:pPr>
        <w:ind w:left="786" w:hanging="360"/>
      </w:pPr>
      <w:rPr>
        <w:rFonts w:hint="default" w:ascii="Symbol" w:hAnsi="Symbol"/>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B31"/>
    <w:rsid w:val="00063A04"/>
    <w:rsid w:val="002427EA"/>
    <w:rsid w:val="002C1297"/>
    <w:rsid w:val="006007A2"/>
    <w:rsid w:val="006912A4"/>
    <w:rsid w:val="006D5B31"/>
    <w:rsid w:val="007F0C70"/>
    <w:rsid w:val="00967377"/>
    <w:rsid w:val="00D74C18"/>
    <w:rsid w:val="00E409E0"/>
    <w:rsid w:val="41ED6AFC"/>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kern w:val="0"/>
      <w:sz w:val="22"/>
      <w:szCs w:val="22"/>
      <w:lang w:val="en-US" w:eastAsia="en-US" w:bidi="ar-SA"/>
      <w14:ligatures w14:val="none"/>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5">
    <w:name w:val="Default"/>
    <w:qFormat/>
    <w:uiPriority w:val="0"/>
    <w:pPr>
      <w:autoSpaceDE w:val="0"/>
      <w:autoSpaceDN w:val="0"/>
      <w:adjustRightInd w:val="0"/>
      <w:spacing w:after="0" w:line="240" w:lineRule="auto"/>
    </w:pPr>
    <w:rPr>
      <w:rFonts w:ascii="Arial" w:hAnsi="Arial" w:eastAsia="Calibri" w:cs="Arial"/>
      <w:color w:val="000000"/>
      <w:kern w:val="0"/>
      <w:sz w:val="24"/>
      <w:szCs w:val="24"/>
      <w:lang w:val="en-US" w:eastAsia="en-US" w:bidi="ar-SA"/>
      <w14:ligatures w14:val="none"/>
    </w:rPr>
  </w:style>
  <w:style w:type="paragraph"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552</Words>
  <Characters>3147</Characters>
  <Lines>26</Lines>
  <Paragraphs>7</Paragraphs>
  <TotalTime>11</TotalTime>
  <ScaleCrop>false</ScaleCrop>
  <LinksUpToDate>false</LinksUpToDate>
  <CharactersWithSpaces>3692</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2023-04-24T14:17:00Z</dcterms:created>
  <dc:creator>Leena Prasad</dc:creator>
  <cp:lastModifiedBy>ucdes</cp:lastModifiedBy>
  <dcterms:modified xsi:type="dcterms:W3CDTF">2023-05-30T10:48:40Z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005E3AA505404D92BA4B8BC45313941F</vt:lpwstr>
  </property>
</Properties>
</file>